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>00</w:t>
      </w:r>
      <w:r>
        <w:rPr>
          <w:lang w:val="ru-RU"/>
        </w:rPr>
        <w:t xml:space="preserve"> </w:t>
      </w:r>
      <w:r>
        <w:rPr>
          <w:lang w:val="ru-RU"/>
        </w:rPr>
        <w:t>марта</w:t>
      </w:r>
      <w:r>
        <w:rPr>
          <w:lang w:val="ru-RU"/>
        </w:rPr>
        <w:t xml:space="preserve"> 2017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  <w:t xml:space="preserve">Об утверждении проекта планировки территории объекта </w:t>
      </w:r>
      <w:r>
        <w:rPr>
          <w:rFonts w:cs="Arial"/>
          <w:szCs w:val="26"/>
          <w:lang w:val="ru-RU" w:eastAsia="ru-RU" w:bidi="ar-SA"/>
        </w:rPr>
        <w:t>«</w:t>
      </w:r>
      <w:r>
        <w:rPr>
          <w:rFonts w:cs="Arial"/>
          <w:szCs w:val="26"/>
          <w:lang w:val="ru-RU" w:eastAsia="ru-RU" w:bidi="ar-SA"/>
        </w:rPr>
        <w:t>Внешнее электроснабжение Тайлаковского месторождения нефти»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В соответствии со статьей 45 Градостроительного </w:t>
      </w:r>
      <w:r>
        <w:rPr/>
        <w:t>кодекса</w:t>
      </w:r>
      <w:r>
        <w:rPr>
          <w:rFonts w:cs="Arial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lang w:val="ru-RU"/>
        </w:rPr>
        <w:t>Уставом Уватского муниципального района Тюменской области</w:t>
      </w:r>
      <w:r>
        <w:rPr>
          <w:rFonts w:cs="Arial"/>
          <w:szCs w:val="26"/>
          <w:lang w:val="ru-RU" w:eastAsia="ru-RU" w:bidi="ar-SA"/>
        </w:rPr>
        <w:t xml:space="preserve">, постановлением главы Уватского муниципального района от 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.20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6 № 1</w:t>
      </w:r>
      <w:r>
        <w:rPr>
          <w:rFonts w:cs="Arial"/>
          <w:szCs w:val="26"/>
          <w:lang w:val="ru-RU" w:eastAsia="ru-RU" w:bidi="ar-SA"/>
        </w:rPr>
        <w:t>02</w:t>
      </w:r>
      <w:r>
        <w:rPr>
          <w:rFonts w:cs="Arial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Cs w:val="26"/>
          <w:lang w:val="ru-RU" w:eastAsia="ru-RU" w:bidi="ar-SA"/>
        </w:rPr>
        <w:t>й</w:t>
      </w:r>
      <w:r>
        <w:rPr>
          <w:rFonts w:cs="Arial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Cs w:val="26"/>
          <w:lang w:val="ru-RU" w:eastAsia="ru-RU" w:bidi="ar-SA"/>
        </w:rPr>
        <w:t>2</w:t>
      </w:r>
      <w:r>
        <w:rPr>
          <w:rFonts w:cs="Arial"/>
          <w:szCs w:val="26"/>
          <w:lang w:val="ru-RU" w:eastAsia="ru-RU" w:bidi="ar-SA"/>
        </w:rPr>
        <w:t>2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</w:t>
      </w:r>
      <w:r>
        <w:rPr>
          <w:rFonts w:cs="Arial"/>
          <w:szCs w:val="26"/>
          <w:lang w:val="ru-RU" w:eastAsia="ru-RU" w:bidi="ar-SA"/>
        </w:rPr>
        <w:t>3</w:t>
      </w:r>
      <w:r>
        <w:rPr>
          <w:rFonts w:cs="Arial"/>
          <w:szCs w:val="26"/>
          <w:lang w:val="ru-RU" w:eastAsia="ru-RU" w:bidi="ar-SA"/>
        </w:rPr>
        <w:t>.201</w:t>
      </w:r>
      <w:r>
        <w:rPr>
          <w:rFonts w:cs="Arial"/>
          <w:szCs w:val="26"/>
          <w:lang w:val="ru-RU" w:eastAsia="ru-RU" w:bidi="ar-SA"/>
        </w:rPr>
        <w:t>7</w:t>
      </w:r>
      <w:r>
        <w:rPr>
          <w:rFonts w:cs="Arial"/>
          <w:szCs w:val="26"/>
          <w:lang w:val="ru-RU" w:eastAsia="ru-RU" w:bidi="ar-SA"/>
        </w:rPr>
        <w:t xml:space="preserve"> № </w:t>
      </w:r>
      <w:r>
        <w:rPr>
          <w:rFonts w:cs="Arial"/>
          <w:szCs w:val="26"/>
          <w:lang w:val="ru-RU" w:eastAsia="ru-RU" w:bidi="ar-SA"/>
        </w:rPr>
        <w:t>0</w:t>
      </w:r>
      <w:r>
        <w:rPr>
          <w:rFonts w:cs="Arial"/>
          <w:szCs w:val="26"/>
          <w:lang w:val="ru-RU" w:eastAsia="ru-RU" w:bidi="ar-SA"/>
        </w:rPr>
        <w:t>273</w:t>
      </w:r>
      <w:r>
        <w:rPr>
          <w:rFonts w:cs="Arial"/>
          <w:szCs w:val="26"/>
          <w:lang w:val="ru-RU" w:eastAsia="ru-RU" w:bidi="ar-SA"/>
        </w:rPr>
        <w:t>-р «О разработке проект</w:t>
      </w:r>
      <w:r>
        <w:rPr>
          <w:rFonts w:cs="Arial"/>
          <w:szCs w:val="26"/>
          <w:lang w:val="ru-RU" w:eastAsia="ru-RU" w:bidi="ar-SA"/>
        </w:rPr>
        <w:t>а</w:t>
      </w:r>
      <w:r>
        <w:rPr>
          <w:rFonts w:cs="Arial"/>
          <w:szCs w:val="26"/>
          <w:lang w:val="ru-RU" w:eastAsia="ru-RU" w:bidi="ar-SA"/>
        </w:rPr>
        <w:t xml:space="preserve"> планировки»</w:t>
      </w:r>
      <w:r>
        <w:rPr>
          <w:szCs w:val="26"/>
          <w:lang w:val="ru-RU"/>
        </w:rPr>
        <w:t>: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1. </w:t>
      </w:r>
      <w:r>
        <w:rPr>
          <w:rFonts w:cs="Arial"/>
          <w:szCs w:val="26"/>
          <w:lang w:val="ru-RU" w:eastAsia="ru-RU" w:bidi="ar-SA"/>
        </w:rPr>
        <w:t xml:space="preserve">Утвердить проект планировки </w:t>
      </w:r>
      <w:r>
        <w:rPr>
          <w:rFonts w:cs="Arial"/>
          <w:szCs w:val="26"/>
          <w:lang w:val="ru-RU" w:eastAsia="ru-RU" w:bidi="ar-SA"/>
        </w:rPr>
        <w:t xml:space="preserve">территории </w:t>
      </w:r>
      <w:r>
        <w:rPr>
          <w:rFonts w:cs="Arial"/>
          <w:szCs w:val="26"/>
          <w:lang w:val="ru-RU" w:eastAsia="ru-RU" w:bidi="ar-SA"/>
        </w:rPr>
        <w:t>объекта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«</w:t>
      </w:r>
      <w:r>
        <w:rPr>
          <w:rFonts w:cs="Arial"/>
          <w:szCs w:val="26"/>
          <w:lang w:val="ru-RU" w:eastAsia="ru-RU" w:bidi="ar-SA"/>
        </w:rPr>
        <w:t>Внешнее электроснабжение Тайлаковского месторождения нефти</w:t>
      </w:r>
      <w:r>
        <w:rPr>
          <w:rFonts w:cs="Arial"/>
          <w:szCs w:val="26"/>
          <w:lang w:val="ru-RU" w:eastAsia="ru-RU" w:bidi="ar-SA"/>
        </w:rPr>
        <w:t xml:space="preserve">» </w:t>
      </w:r>
      <w:r>
        <w:rPr>
          <w:rFonts w:cs="Arial"/>
          <w:szCs w:val="26"/>
          <w:lang w:val="ru-RU" w:eastAsia="ru-RU" w:bidi="ar-SA"/>
        </w:rPr>
        <w:t xml:space="preserve"> согласно приложению к настоящему постановлению</w:t>
      </w:r>
      <w:r>
        <w:rPr>
          <w:szCs w:val="26"/>
          <w:lang w:val="ru-RU"/>
        </w:rPr>
        <w:t>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2. </w:t>
      </w:r>
      <w:r>
        <w:rPr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Cs w:val="26"/>
          <w:lang w:val="ru-RU"/>
        </w:rPr>
        <w:t xml:space="preserve"> </w:t>
      </w:r>
      <w:r>
        <w:rPr>
          <w:rFonts w:cs="Arial"/>
          <w:color w:val="000000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Cs w:val="26"/>
          <w:lang w:val="ru-RU"/>
        </w:rPr>
        <w:t>б) разместить</w:t>
      </w:r>
      <w:r>
        <w:rPr>
          <w:rFonts w:cs="Arial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Cs w:val="26"/>
          <w:lang w:val="ru-RU"/>
        </w:rPr>
        <w:t xml:space="preserve"> на </w:t>
      </w:r>
      <w:r>
        <w:rPr>
          <w:rFonts w:cs="Arial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Cs w:val="26"/>
          <w:lang w:val="ru-RU"/>
        </w:rPr>
        <w:t>в сети «Интернет»</w:t>
      </w:r>
      <w:r>
        <w:rPr>
          <w:rFonts w:cs="Arial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(Васильева А.Ю.)</w:t>
      </w:r>
      <w:r>
        <w:rPr>
          <w:rFonts w:cs="Arial"/>
          <w:color w:val="000000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4. </w:t>
      </w:r>
      <w:r>
        <w:rPr>
          <w:rFonts w:cs="Arial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над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/>
      </w:pPr>
      <w:r>
        <w:rPr>
          <w:lang w:val="ru-RU"/>
        </w:rPr>
        <w:t>Г</w:t>
      </w:r>
      <w:r>
        <w:rPr>
          <w:lang w:val="ru-RU"/>
        </w:rPr>
        <w:t>лав</w:t>
      </w:r>
      <w:r>
        <w:rPr>
          <w:lang w:val="ru-RU"/>
        </w:rPr>
        <w:t>а</w:t>
      </w:r>
      <w:r>
        <w:rPr>
          <w:lang w:val="ru-RU"/>
        </w:rPr>
        <w:tab/>
      </w:r>
      <w:r>
        <w:rPr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171</TotalTime>
  <Application>LibreOffice/5.1.2.2$Windows_X86_64 LibreOffice_project/d3bf12ecb743fc0d20e0be0c58ca359301eb705f</Application>
  <Pages>1</Pages>
  <Words>204</Words>
  <Characters>1631</Characters>
  <CharactersWithSpaces>1828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2017-05-04T08:46:00Z</cp:lastPrinted>
  <dcterms:modified xsi:type="dcterms:W3CDTF">2017-05-04T09:32:56Z</dcterms:modified>
  <cp:revision>102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